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D490" w14:textId="77777777" w:rsidR="00FD0D0B" w:rsidRDefault="00FD0D0B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5B46B41" w14:textId="77777777" w:rsidR="00FD0D0B" w:rsidRPr="00692A45" w:rsidRDefault="00FD0D0B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tutor</w:t>
      </w:r>
      <w:r w:rsidRPr="00692A45">
        <w:t>)</w:t>
      </w:r>
    </w:p>
    <w:p w14:paraId="25839FBD" w14:textId="77777777" w:rsidR="00FD0D0B" w:rsidRDefault="00FD0D0B" w:rsidP="00563B86">
      <w:pPr>
        <w:rPr>
          <w:rFonts w:cs="Arial"/>
          <w:szCs w:val="22"/>
        </w:rPr>
      </w:pPr>
    </w:p>
    <w:p w14:paraId="4593EAB4" w14:textId="77777777" w:rsidR="00FD0D0B" w:rsidRPr="00FD0D0B" w:rsidRDefault="00FD0D0B" w:rsidP="00546DA9">
      <w:pPr>
        <w:rPr>
          <w:rFonts w:cs="Arial"/>
          <w:sz w:val="24"/>
        </w:rPr>
      </w:pPr>
      <w:r w:rsidRPr="00FD0D0B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569FDB73" w14:textId="77777777" w:rsidR="00FD0D0B" w:rsidRPr="00FD0D0B" w:rsidRDefault="00FD0D0B" w:rsidP="00563B86">
      <w:pPr>
        <w:rPr>
          <w:rFonts w:cs="Arial"/>
          <w:sz w:val="24"/>
        </w:rPr>
      </w:pPr>
    </w:p>
    <w:p w14:paraId="4DB29F5F" w14:textId="77777777" w:rsidR="00FD0D0B" w:rsidRPr="00FD0D0B" w:rsidRDefault="00FD0D0B" w:rsidP="00943759">
      <w:pPr>
        <w:rPr>
          <w:rFonts w:cs="Arial"/>
          <w:sz w:val="24"/>
        </w:rPr>
      </w:pPr>
      <w:hyperlink r:id="rId10" w:history="1">
        <w:r w:rsidRPr="00FD0D0B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5898DC1F" w14:textId="77777777" w:rsidR="00FD0D0B" w:rsidRPr="00FD0D0B" w:rsidRDefault="00FD0D0B" w:rsidP="00563B86">
      <w:pPr>
        <w:rPr>
          <w:rFonts w:cs="Arial"/>
          <w:sz w:val="24"/>
        </w:rPr>
      </w:pPr>
    </w:p>
    <w:p w14:paraId="7B417E94" w14:textId="77777777" w:rsidR="00FD0D0B" w:rsidRPr="00FD0D0B" w:rsidRDefault="00FD0D0B" w:rsidP="00563B86">
      <w:pPr>
        <w:rPr>
          <w:rFonts w:cs="Arial"/>
          <w:sz w:val="24"/>
        </w:rPr>
      </w:pPr>
      <w:r w:rsidRPr="00FD0D0B">
        <w:rPr>
          <w:rFonts w:cs="Arial"/>
          <w:sz w:val="24"/>
        </w:rPr>
        <w:t xml:space="preserve">Read this document from page 3, case study 1 and case study 2. </w:t>
      </w:r>
    </w:p>
    <w:p w14:paraId="1AA1F47F" w14:textId="77777777" w:rsidR="00FD0D0B" w:rsidRPr="00FD0D0B" w:rsidRDefault="00FD0D0B" w:rsidP="00A04087">
      <w:pPr>
        <w:rPr>
          <w:rFonts w:cs="Arial"/>
          <w:sz w:val="24"/>
        </w:rPr>
      </w:pPr>
    </w:p>
    <w:p w14:paraId="522D6202" w14:textId="77777777" w:rsidR="00FD0D0B" w:rsidRPr="00FD0D0B" w:rsidRDefault="00FD0D0B" w:rsidP="00FD0D0B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FD0D0B">
        <w:rPr>
          <w:rFonts w:ascii="Arial" w:hAnsi="Arial" w:cs="Arial"/>
        </w:rPr>
        <w:t>What are the benefits that each development brought to the community?</w:t>
      </w:r>
    </w:p>
    <w:p w14:paraId="3215D792" w14:textId="77777777" w:rsidR="00FD0D0B" w:rsidRPr="00FD0D0B" w:rsidRDefault="00FD0D0B" w:rsidP="00A04087">
      <w:pPr>
        <w:rPr>
          <w:rFonts w:cs="Arial"/>
          <w:sz w:val="24"/>
        </w:rPr>
      </w:pPr>
    </w:p>
    <w:p w14:paraId="0AFBC4A6" w14:textId="77777777" w:rsidR="00FD0D0B" w:rsidRPr="00FD0D0B" w:rsidRDefault="00FD0D0B" w:rsidP="00F7576C">
      <w:pPr>
        <w:rPr>
          <w:rFonts w:cs="Arial"/>
          <w:color w:val="FF0000"/>
          <w:sz w:val="24"/>
        </w:rPr>
      </w:pPr>
      <w:r w:rsidRPr="00FD0D0B">
        <w:rPr>
          <w:rFonts w:cs="Arial"/>
          <w:color w:val="FF0000"/>
          <w:sz w:val="24"/>
        </w:rPr>
        <w:t xml:space="preserve">Draw out answers from the results against each case study and expand with direct questioning. </w:t>
      </w:r>
    </w:p>
    <w:p w14:paraId="77B3C827" w14:textId="77777777" w:rsidR="00FD0D0B" w:rsidRPr="00FD0D0B" w:rsidRDefault="00FD0D0B" w:rsidP="00F7576C">
      <w:pPr>
        <w:rPr>
          <w:rFonts w:cs="Arial"/>
          <w:color w:val="FF0000"/>
          <w:sz w:val="24"/>
        </w:rPr>
      </w:pPr>
    </w:p>
    <w:p w14:paraId="471274AE" w14:textId="77777777" w:rsidR="00FD0D0B" w:rsidRPr="00FD0D0B" w:rsidRDefault="00FD0D0B" w:rsidP="00A04087">
      <w:pPr>
        <w:rPr>
          <w:rFonts w:cs="Arial"/>
          <w:b/>
          <w:bCs/>
          <w:sz w:val="24"/>
        </w:rPr>
      </w:pPr>
      <w:r w:rsidRPr="00FD0D0B">
        <w:rPr>
          <w:rFonts w:cs="Arial"/>
          <w:b/>
          <w:bCs/>
          <w:sz w:val="24"/>
        </w:rPr>
        <w:t>Case study 1:</w:t>
      </w:r>
    </w:p>
    <w:p w14:paraId="2A13226F" w14:textId="77777777" w:rsidR="00FD0D0B" w:rsidRPr="00FD0D0B" w:rsidRDefault="00FD0D0B" w:rsidP="00A04087">
      <w:pPr>
        <w:rPr>
          <w:rFonts w:cs="Arial"/>
          <w:color w:val="FF0000"/>
          <w:sz w:val="24"/>
        </w:rPr>
      </w:pPr>
    </w:p>
    <w:p w14:paraId="3B1CD364" w14:textId="77777777" w:rsidR="00FD0D0B" w:rsidRPr="00FD0D0B" w:rsidRDefault="00FD0D0B" w:rsidP="00A04087">
      <w:pPr>
        <w:rPr>
          <w:rFonts w:cs="Arial"/>
          <w:color w:val="FF0000"/>
          <w:sz w:val="24"/>
        </w:rPr>
      </w:pPr>
    </w:p>
    <w:p w14:paraId="5BE67FB7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The local community gained a new asset with sports, education, and community facilities in the long term.</w:t>
      </w:r>
    </w:p>
    <w:p w14:paraId="34BE67E6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In the short term, a total of nearly 15% of total contract costs went to local companies.</w:t>
      </w:r>
    </w:p>
    <w:p w14:paraId="07A4A2EC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Of a total of nearly 600,000 man-hours spent on the project, around one-quarter to one-third of the workforce at any time were from the local area.</w:t>
      </w:r>
    </w:p>
    <w:p w14:paraId="520AEC55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Approximately £5 million worth of contracts and a further £750,000 of orders went to local companies.</w:t>
      </w:r>
    </w:p>
    <w:p w14:paraId="0819665A" w14:textId="77777777" w:rsidR="00FD0D0B" w:rsidRPr="00FD0D0B" w:rsidRDefault="00FD0D0B" w:rsidP="00F7576C">
      <w:pPr>
        <w:rPr>
          <w:rFonts w:cs="Arial"/>
          <w:b/>
          <w:bCs/>
          <w:sz w:val="24"/>
        </w:rPr>
      </w:pPr>
    </w:p>
    <w:p w14:paraId="51784CA2" w14:textId="77777777" w:rsidR="00FD0D0B" w:rsidRPr="00FD0D0B" w:rsidRDefault="00FD0D0B" w:rsidP="00F7576C">
      <w:pPr>
        <w:rPr>
          <w:rFonts w:cs="Arial"/>
          <w:b/>
          <w:bCs/>
          <w:sz w:val="24"/>
        </w:rPr>
      </w:pPr>
      <w:r w:rsidRPr="00FD0D0B">
        <w:rPr>
          <w:rFonts w:cs="Arial"/>
          <w:b/>
          <w:bCs/>
          <w:sz w:val="24"/>
        </w:rPr>
        <w:t>Case study 2:</w:t>
      </w:r>
    </w:p>
    <w:p w14:paraId="0F20B6B3" w14:textId="77777777" w:rsidR="00FD0D0B" w:rsidRPr="00FD0D0B" w:rsidRDefault="00FD0D0B" w:rsidP="00A04087">
      <w:pPr>
        <w:rPr>
          <w:rFonts w:cs="Arial"/>
          <w:color w:val="FF0000"/>
          <w:sz w:val="24"/>
        </w:rPr>
      </w:pPr>
    </w:p>
    <w:p w14:paraId="750DAE51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The local community gained well-designed new housing in keeping with the exiting housing stock.</w:t>
      </w:r>
    </w:p>
    <w:p w14:paraId="28E54998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It was created as a pedestrian-friendly environment, reducing car use/pollution.</w:t>
      </w:r>
    </w:p>
    <w:p w14:paraId="7F4522E8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The development integrated with Northampton and allowed sharing of facilities between the existing town and new development.</w:t>
      </w:r>
    </w:p>
    <w:p w14:paraId="1A59248E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With improved access and ‘walkability’, it allows for better social inclusion, with more residents able to access neighbourhood facilities, such as shops within a five-minute walk.</w:t>
      </w:r>
    </w:p>
    <w:p w14:paraId="6F780061" w14:textId="77777777" w:rsidR="006E1028" w:rsidRDefault="006E1028" w:rsidP="00FD0D0B">
      <w:pPr>
        <w:pStyle w:val="Answer"/>
        <w:ind w:left="0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69229" w14:textId="77777777" w:rsidR="005B55C8" w:rsidRDefault="005B55C8">
      <w:pPr>
        <w:spacing w:before="0" w:after="0"/>
      </w:pPr>
      <w:r>
        <w:separator/>
      </w:r>
    </w:p>
  </w:endnote>
  <w:endnote w:type="continuationSeparator" w:id="0">
    <w:p w14:paraId="0F6D318E" w14:textId="77777777" w:rsidR="005B55C8" w:rsidRDefault="005B55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B8B89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B58258" wp14:editId="455660A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337E4B6" w14:textId="210CC840" w:rsidR="009A2CD2" w:rsidRPr="006953AB" w:rsidRDefault="009000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000D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24DD8D5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B582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2337E4B6" w14:textId="210CC840" w:rsidR="009A2CD2" w:rsidRPr="006953AB" w:rsidRDefault="009000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000D2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24DD8D5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C6DC15" wp14:editId="70F5DD4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C437C" w14:textId="77777777" w:rsidR="005B55C8" w:rsidRDefault="005B55C8">
      <w:pPr>
        <w:spacing w:before="0" w:after="0"/>
      </w:pPr>
      <w:r>
        <w:separator/>
      </w:r>
    </w:p>
  </w:footnote>
  <w:footnote w:type="continuationSeparator" w:id="0">
    <w:p w14:paraId="2BA73972" w14:textId="77777777" w:rsidR="005B55C8" w:rsidRDefault="005B55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DD38B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D01C8F7" wp14:editId="4887B8E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6992C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9CD0B20" wp14:editId="6A308D9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4324C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E5385"/>
    <w:multiLevelType w:val="hybridMultilevel"/>
    <w:tmpl w:val="ADFC4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26F9"/>
    <w:multiLevelType w:val="hybridMultilevel"/>
    <w:tmpl w:val="7E9221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B57E9"/>
    <w:multiLevelType w:val="hybridMultilevel"/>
    <w:tmpl w:val="8E549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468004">
    <w:abstractNumId w:val="5"/>
  </w:num>
  <w:num w:numId="2" w16cid:durableId="2122409612">
    <w:abstractNumId w:val="15"/>
  </w:num>
  <w:num w:numId="3" w16cid:durableId="398135742">
    <w:abstractNumId w:val="22"/>
  </w:num>
  <w:num w:numId="4" w16cid:durableId="1784962961">
    <w:abstractNumId w:val="17"/>
  </w:num>
  <w:num w:numId="5" w16cid:durableId="1354768581">
    <w:abstractNumId w:val="8"/>
  </w:num>
  <w:num w:numId="6" w16cid:durableId="865563511">
    <w:abstractNumId w:val="16"/>
  </w:num>
  <w:num w:numId="7" w16cid:durableId="205064308">
    <w:abstractNumId w:val="8"/>
  </w:num>
  <w:num w:numId="8" w16cid:durableId="2003965943">
    <w:abstractNumId w:val="2"/>
  </w:num>
  <w:num w:numId="9" w16cid:durableId="769202394">
    <w:abstractNumId w:val="8"/>
    <w:lvlOverride w:ilvl="0">
      <w:startOverride w:val="1"/>
    </w:lvlOverride>
  </w:num>
  <w:num w:numId="10" w16cid:durableId="1298686112">
    <w:abstractNumId w:val="18"/>
  </w:num>
  <w:num w:numId="11" w16cid:durableId="251667722">
    <w:abstractNumId w:val="14"/>
  </w:num>
  <w:num w:numId="12" w16cid:durableId="1001079384">
    <w:abstractNumId w:val="6"/>
  </w:num>
  <w:num w:numId="13" w16cid:durableId="1274283711">
    <w:abstractNumId w:val="13"/>
  </w:num>
  <w:num w:numId="14" w16cid:durableId="1553694191">
    <w:abstractNumId w:val="19"/>
  </w:num>
  <w:num w:numId="15" w16cid:durableId="101535808">
    <w:abstractNumId w:val="11"/>
  </w:num>
  <w:num w:numId="16" w16cid:durableId="505903933">
    <w:abstractNumId w:val="7"/>
  </w:num>
  <w:num w:numId="17" w16cid:durableId="558711884">
    <w:abstractNumId w:val="26"/>
  </w:num>
  <w:num w:numId="18" w16cid:durableId="1429082985">
    <w:abstractNumId w:val="27"/>
  </w:num>
  <w:num w:numId="19" w16cid:durableId="1755860986">
    <w:abstractNumId w:val="4"/>
  </w:num>
  <w:num w:numId="20" w16cid:durableId="886647189">
    <w:abstractNumId w:val="3"/>
  </w:num>
  <w:num w:numId="21" w16cid:durableId="942569263">
    <w:abstractNumId w:val="9"/>
  </w:num>
  <w:num w:numId="22" w16cid:durableId="269437193">
    <w:abstractNumId w:val="9"/>
    <w:lvlOverride w:ilvl="0">
      <w:startOverride w:val="1"/>
    </w:lvlOverride>
  </w:num>
  <w:num w:numId="23" w16cid:durableId="584924977">
    <w:abstractNumId w:val="24"/>
  </w:num>
  <w:num w:numId="24" w16cid:durableId="701440769">
    <w:abstractNumId w:val="9"/>
    <w:lvlOverride w:ilvl="0">
      <w:startOverride w:val="1"/>
    </w:lvlOverride>
  </w:num>
  <w:num w:numId="25" w16cid:durableId="969821861">
    <w:abstractNumId w:val="9"/>
    <w:lvlOverride w:ilvl="0">
      <w:startOverride w:val="1"/>
    </w:lvlOverride>
  </w:num>
  <w:num w:numId="26" w16cid:durableId="1102650807">
    <w:abstractNumId w:val="10"/>
  </w:num>
  <w:num w:numId="27" w16cid:durableId="496269391">
    <w:abstractNumId w:val="20"/>
  </w:num>
  <w:num w:numId="28" w16cid:durableId="1019045851">
    <w:abstractNumId w:val="9"/>
    <w:lvlOverride w:ilvl="0">
      <w:startOverride w:val="1"/>
    </w:lvlOverride>
  </w:num>
  <w:num w:numId="29" w16cid:durableId="69811385">
    <w:abstractNumId w:val="21"/>
  </w:num>
  <w:num w:numId="30" w16cid:durableId="475221015">
    <w:abstractNumId w:val="9"/>
  </w:num>
  <w:num w:numId="31" w16cid:durableId="1782384282">
    <w:abstractNumId w:val="9"/>
    <w:lvlOverride w:ilvl="0">
      <w:startOverride w:val="1"/>
    </w:lvlOverride>
  </w:num>
  <w:num w:numId="32" w16cid:durableId="529685857">
    <w:abstractNumId w:val="9"/>
    <w:lvlOverride w:ilvl="0">
      <w:startOverride w:val="1"/>
    </w:lvlOverride>
  </w:num>
  <w:num w:numId="33" w16cid:durableId="705569545">
    <w:abstractNumId w:val="0"/>
  </w:num>
  <w:num w:numId="34" w16cid:durableId="2028091279">
    <w:abstractNumId w:val="12"/>
  </w:num>
  <w:num w:numId="35" w16cid:durableId="440418762">
    <w:abstractNumId w:val="1"/>
  </w:num>
  <w:num w:numId="36" w16cid:durableId="484902967">
    <w:abstractNumId w:val="25"/>
  </w:num>
  <w:num w:numId="37" w16cid:durableId="11933764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D0B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27431"/>
    <w:rsid w:val="003405EA"/>
    <w:rsid w:val="00357EA3"/>
    <w:rsid w:val="003B1E21"/>
    <w:rsid w:val="00404B31"/>
    <w:rsid w:val="00443B2E"/>
    <w:rsid w:val="00474F67"/>
    <w:rsid w:val="0048500D"/>
    <w:rsid w:val="00524E1B"/>
    <w:rsid w:val="00592613"/>
    <w:rsid w:val="005B55C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000D2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0D0B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26104"/>
  <w15:docId w15:val="{8204833C-8FCB-476C-982C-857CADEC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FD0D0B"/>
    <w:rPr>
      <w:color w:val="0563C1" w:themeColor="hyperlink"/>
      <w:u w:val="single"/>
    </w:rPr>
  </w:style>
  <w:style w:type="paragraph" w:styleId="ListParagraph">
    <w:name w:val="List Paragraph"/>
    <w:basedOn w:val="Normal"/>
    <w:rsid w:val="00FD0D0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000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onstructingexcellence.org.uk/wp-content/uploads/2015/03/social_responsibility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125CA-3DE7-4061-A7FC-A0055CB11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42D397-E4E7-40B2-BCCC-CE9284F241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02F9ED-E40C-4C0D-B406-67BB79E86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82</Words>
  <Characters>1583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2025-11-17T23:11:00Z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